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Мирненская средняя  школа № 11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советом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Бойченкова Н.В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Завуч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Донец Н.П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Бойченкова Н.В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43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Дубовский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Мирненская средняя  школа № 11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Мирненская средняя  школа № 11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Мирненская средняя  школа № 11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Мирненская средняя  школа № 11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Мирненская средняя  школа № 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Английский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Основы безопасности жизнедеятельности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27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 xml:space="preserve">Обществознание 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29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986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Мирненская средняя  школа № 11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4158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158"/>
            <w:gridSpan w:val="2"/>
            <w:vMerge/>
          </w:tcPr>
          <w:p/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2079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4158"/>
            <w:gridSpan w:val="2"/>
          </w:tcPr>
          <w:p>
            <w:r>
              <w:t>Разговоры о важном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158"/>
            <w:gridSpan w:val="2"/>
          </w:tcPr>
          <w:p>
            <w:r>
              <w:t xml:space="preserve">Азбука пешехода 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 xml:space="preserve">Русская словестность 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4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